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C8832" w14:textId="77777777" w:rsidR="006E5D65" w:rsidRPr="00F654E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F654E7">
        <w:rPr>
          <w:rFonts w:ascii="Corbel" w:hAnsi="Corbel"/>
          <w:bCs/>
          <w:i/>
        </w:rPr>
        <w:t xml:space="preserve">Załącznik nr </w:t>
      </w:r>
      <w:r w:rsidR="006F31E2" w:rsidRPr="00F654E7">
        <w:rPr>
          <w:rFonts w:ascii="Corbel" w:hAnsi="Corbel"/>
          <w:bCs/>
          <w:i/>
        </w:rPr>
        <w:t>1.5</w:t>
      </w:r>
      <w:r w:rsidR="00D8678B" w:rsidRPr="00F654E7">
        <w:rPr>
          <w:rFonts w:ascii="Corbel" w:hAnsi="Corbel"/>
          <w:bCs/>
          <w:i/>
        </w:rPr>
        <w:t xml:space="preserve"> do Zarządzenia</w:t>
      </w:r>
      <w:r w:rsidR="002A22BF" w:rsidRPr="00F654E7">
        <w:rPr>
          <w:rFonts w:ascii="Corbel" w:hAnsi="Corbel"/>
          <w:bCs/>
          <w:i/>
        </w:rPr>
        <w:t xml:space="preserve"> Rektora UR </w:t>
      </w:r>
      <w:r w:rsidRPr="00F654E7">
        <w:rPr>
          <w:rFonts w:ascii="Corbel" w:hAnsi="Corbel"/>
          <w:bCs/>
          <w:i/>
        </w:rPr>
        <w:t xml:space="preserve"> nr </w:t>
      </w:r>
      <w:r w:rsidR="00F17567" w:rsidRPr="00F654E7">
        <w:rPr>
          <w:rFonts w:ascii="Corbel" w:hAnsi="Corbel"/>
          <w:bCs/>
          <w:i/>
        </w:rPr>
        <w:t>12/2019</w:t>
      </w: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23C8F9FF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77D71D0E" w14:textId="47B5DD21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2020/2021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6B0E1DB5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bCs/>
                <w:sz w:val="24"/>
                <w:szCs w:val="24"/>
              </w:rPr>
              <w:t>Rynek papierów wartościowych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369CF8A0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E/II/EP/C.3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2E776F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4D90F158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mgr Magdalena D. Suraj</w:t>
            </w:r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3222207D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5DA6F90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02156145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6441">
        <w:rPr>
          <w:rFonts w:ascii="Corbel" w:hAnsi="Corbel"/>
          <w:b w:val="0"/>
          <w:smallCaps w:val="0"/>
          <w:szCs w:val="24"/>
        </w:rPr>
        <w:t>aliczenie z oceną</w:t>
      </w:r>
      <w:r w:rsidR="00406A2B">
        <w:rPr>
          <w:rFonts w:ascii="Corbel" w:hAnsi="Corbel"/>
          <w:b w:val="0"/>
          <w:smallCaps w:val="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konstrukcją finansowo-prawną najważniejszych instrumentów finansowych. 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Zrozumienie funkcji rynku papierów wartościowych oraz ról instytucji obsługujących ten rynek.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269660D3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7358CEBE" w:rsidRPr="00C13760">
              <w:rPr>
                <w:rFonts w:ascii="Corbel" w:hAnsi="Corbel"/>
                <w:b w:val="0"/>
                <w:smallCaps w:val="0"/>
                <w:szCs w:val="24"/>
              </w:rPr>
              <w:t>. Przedstawia i rozumie złożoność funkcjonowania rynku papierów wartościowy</w:t>
            </w:r>
            <w:r w:rsidR="72EA0614" w:rsidRPr="00C13760">
              <w:rPr>
                <w:rFonts w:ascii="Corbel" w:hAnsi="Corbel"/>
                <w:b w:val="0"/>
                <w:smallCaps w:val="0"/>
                <w:szCs w:val="24"/>
              </w:rPr>
              <w:t>ch jak również rolę człowieka w jego funk</w:t>
            </w:r>
            <w:r w:rsidR="7D3ED208" w:rsidRPr="00C13760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7358CEBE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C13760">
              <w:rPr>
                <w:rFonts w:ascii="Corbel" w:hAnsi="Corbel"/>
                <w:b w:val="0"/>
                <w:smallCaps w:val="0"/>
                <w:szCs w:val="24"/>
              </w:rPr>
              <w:t>Rozumie wyzwania i dylematy współczesnych rynków finansowych.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C137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47E4F9EA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3017BE58" w:rsidRPr="00C1376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77777777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Identyfikuje podstawowe zależności pomiędzy zjawiskami makroekonomicznymi a nastrojami panującymi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0C2B2B41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4226A31" w:rsidRPr="00C1376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067A754E" w14:textId="2F25B469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C13760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C13760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9DA13F" w14:textId="027A6FD5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46097A6" w14:textId="4C65032B" w:rsidR="004E6441" w:rsidRPr="00C13760" w:rsidRDefault="4C3D68BD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A1E1A86" w14:textId="227E4E0B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5F6428B3" w:rsidR="004E6441" w:rsidRPr="00C13760" w:rsidRDefault="74C3DAA2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rynku papierów wartościowych, </w:t>
            </w:r>
            <w:r w:rsidR="1AC848F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Pracuje w grupie w ramach pracy zespołowej, podejmuje się roli lidera w grupie.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C1376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750DA368" w:rsidR="004E6441" w:rsidRPr="00C13760" w:rsidRDefault="6F08F910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Posiada właściwe przygotowanie, aby zachować ostrożność w zakresie ryzykownych transakcji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C13760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Potrafi zbierać i przetwarzać informacje niezbędne do przeprowadzania stosunkowo bezpiecznych operacji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C1376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691356F" w14:textId="77777777" w:rsidR="00406A2B" w:rsidRDefault="00406A2B" w:rsidP="00406A2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Wprowadzenie do przedmiotu; podstawowa terminologia. Papier wartościowy a instrument finansowy. Geneza rynku papierów wartościowych. </w:t>
            </w:r>
          </w:p>
        </w:tc>
      </w:tr>
      <w:tr w:rsidR="004E6441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4E6441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Giełda papierów wartościowych jako centrum współczesnych rynków finansowych. Indeksy giełdowe jako barometr nastrojów rynku. Emitenci na rynku papierów wartościowych. Działalność domów maklerskich.</w:t>
            </w:r>
          </w:p>
        </w:tc>
      </w:tr>
      <w:tr w:rsidR="004E6441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Credit rating – agencje ratingowe i systematyka ryzyka inwestycyjnego. 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Akcja jako papier właścicielski. Prawa majątkowe i korporacyjne związane z akcją. Rodzaje i wartość akcji.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Papiery dłużne. Obligacja – konstrukcja, rodzaje i wartość. Bony skarbowe, bony pieniężne, bony bankowe, bony prywatne, weksel.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Instrumenty emitowane przez fundusze inwestycyjne – certyfikaty inwestycyjne, jednostki uczestnictwa. Zasady działania funduszy inwestycyjnych.</w:t>
            </w:r>
          </w:p>
        </w:tc>
      </w:tr>
      <w:tr w:rsidR="004E6441" w14:paraId="77B9E324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D32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Instrumenty pochodne i inwestycje alternatywne – forward, futures, opcja i swap. Rynek alternatywny jako substytut tradycyjnych form inwestowania. </w:t>
            </w:r>
          </w:p>
        </w:tc>
      </w:tr>
      <w:tr w:rsidR="004E6441" w14:paraId="46B04381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ED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Psychologia inwestowania. Cele i motywy inwestowania. Inwestowanie jako proces decyzyjny.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77777777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 dwa elementy: pozytywna ocena z wykonanego projektu grupowego (50% oceny końcowej z zaliczenia) oraz pozytywna ocena z kolokwium (50% oceny końcowej z zaliczenia). </w:t>
            </w:r>
          </w:p>
          <w:p w14:paraId="456FE60A" w14:textId="77777777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Projekty przygotowywane są w grupach 2-4 osobowych Kryteria oceny projektu: przygotowanie referatu w formie pisemnej (60pkt), prezentacja w formie multimedialnej (10pkt) i ustna grupowa prezentacja projektu (30pkt). Skala ocen z projektu: 0-59 pkt – niedostateczny, 60-69pkt - dostateczny, 70-79pkt – dostateczny plus, 80-89 pkt dobry, 90-94 dobry plus, 95-100 bardzo dobry. </w:t>
            </w:r>
          </w:p>
          <w:p w14:paraId="3014CB29" w14:textId="77777777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lastRenderedPageBreak/>
              <w:t xml:space="preserve">Planowane jest jedno kolokwium. 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0- 50% maksymalnej do uzyskania liczby punktów - niedostateczny, 51%-60% - dostateczny, 61%-70% - dostateczny plus, 71%-80% - dobry, 81%- 90% - dobry plus, 91%- 100%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7BC496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453441DC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3096E37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Machlup,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>, Fijorr Publishing, Warszawa 2013</w:t>
            </w:r>
          </w:p>
          <w:p w14:paraId="221474BA" w14:textId="1B1B74EE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>, CeDeWu, Warszawa 2012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>, Oficyna Wydawnicza PRz,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16D51AC2" w:rsidR="00916AAE" w:rsidRPr="00C13760" w:rsidRDefault="00916AAE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H. Gurgul, T. Wójtowicz,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 xml:space="preserve">Wpływ informacji makroekonomicznych na transakcje na rynkach akcji, </w:t>
            </w:r>
            <w:r w:rsidRPr="00C13760">
              <w:rPr>
                <w:rFonts w:ascii="Corbel" w:hAnsi="Corbel"/>
                <w:b w:val="0"/>
                <w:smallCaps w:val="0"/>
              </w:rPr>
              <w:t>Wydawnictwo C. H. Beck, Warszawa 2020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>, Difin, Warszawa 2014</w:t>
            </w:r>
          </w:p>
          <w:p w14:paraId="69EB2EC8" w14:textId="087049A4" w:rsidR="00A82C79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Dobosiewicz,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EEB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899E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7B1BF" w14:textId="77777777" w:rsidR="00A20FDE" w:rsidRDefault="00A20FDE" w:rsidP="00C16ABF">
      <w:pPr>
        <w:spacing w:after="0" w:line="240" w:lineRule="auto"/>
      </w:pPr>
      <w:r>
        <w:separator/>
      </w:r>
    </w:p>
  </w:endnote>
  <w:endnote w:type="continuationSeparator" w:id="0">
    <w:p w14:paraId="76A12E5B" w14:textId="77777777" w:rsidR="00A20FDE" w:rsidRDefault="00A20F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08762" w14:textId="77777777" w:rsidR="00A20FDE" w:rsidRDefault="00A20FDE" w:rsidP="00C16ABF">
      <w:pPr>
        <w:spacing w:after="0" w:line="240" w:lineRule="auto"/>
      </w:pPr>
      <w:r>
        <w:separator/>
      </w:r>
    </w:p>
  </w:footnote>
  <w:footnote w:type="continuationSeparator" w:id="0">
    <w:p w14:paraId="1A691D3A" w14:textId="77777777" w:rsidR="00A20FDE" w:rsidRDefault="00A20FDE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3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675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4AE"/>
    <w:rsid w:val="009C788E"/>
    <w:rsid w:val="009D397B"/>
    <w:rsid w:val="009D3F3B"/>
    <w:rsid w:val="009E0543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DC1"/>
    <w:rsid w:val="00B40ADB"/>
    <w:rsid w:val="00B43B77"/>
    <w:rsid w:val="00B43E80"/>
    <w:rsid w:val="00B50A4B"/>
    <w:rsid w:val="00B607DB"/>
    <w:rsid w:val="00B66529"/>
    <w:rsid w:val="00B75946"/>
    <w:rsid w:val="00B8056E"/>
    <w:rsid w:val="00B819C8"/>
    <w:rsid w:val="00B82308"/>
    <w:rsid w:val="00B90885"/>
    <w:rsid w:val="00BA30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B5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49CDB9-1B71-4C27-A14E-A61039CAE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1071</Words>
  <Characters>6426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9</cp:revision>
  <cp:lastPrinted>2019-02-06T12:12:00Z</cp:lastPrinted>
  <dcterms:created xsi:type="dcterms:W3CDTF">2020-11-23T21:11:00Z</dcterms:created>
  <dcterms:modified xsi:type="dcterms:W3CDTF">2020-12-13T11:56:00Z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